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ascii="微软雅黑" w:hAnsi="微软雅黑" w:eastAsia="微软雅黑" w:cs="微软雅黑"/>
          <w:color w:val="333333"/>
          <w:sz w:val="39"/>
          <w:szCs w:val="39"/>
        </w:rPr>
      </w:pPr>
      <w:r>
        <w:rPr>
          <w:rFonts w:hint="eastAsia" w:ascii="微软雅黑" w:hAnsi="微软雅黑" w:eastAsia="微软雅黑" w:cs="微软雅黑"/>
          <w:color w:val="333333"/>
          <w:sz w:val="24"/>
          <w:szCs w:val="24"/>
          <w:bdr w:val="none" w:color="auto" w:sz="0" w:space="0"/>
        </w:rPr>
        <w:t>2019年</w:t>
      </w:r>
      <w:bookmarkStart w:id="0" w:name="_GoBack"/>
      <w:r>
        <w:rPr>
          <w:rFonts w:hint="eastAsia" w:ascii="微软雅黑" w:hAnsi="微软雅黑" w:eastAsia="微软雅黑" w:cs="微软雅黑"/>
          <w:color w:val="333333"/>
          <w:sz w:val="24"/>
          <w:szCs w:val="24"/>
          <w:bdr w:val="none" w:color="auto" w:sz="0" w:space="0"/>
        </w:rPr>
        <w:t>西安工程大学</w:t>
      </w:r>
      <w:bookmarkEnd w:id="0"/>
      <w:r>
        <w:rPr>
          <w:rFonts w:hint="eastAsia" w:ascii="微软雅黑" w:hAnsi="微软雅黑" w:eastAsia="微软雅黑" w:cs="微软雅黑"/>
          <w:color w:val="333333"/>
          <w:sz w:val="24"/>
          <w:szCs w:val="24"/>
          <w:bdr w:val="none" w:color="auto" w:sz="0" w:space="0"/>
        </w:rPr>
        <w:t>推免生选拔考核与复试工作的通知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479" w:leftChars="228" w:right="0" w:firstLine="480" w:firstLineChars="200"/>
        <w:jc w:val="left"/>
        <w:rPr>
          <w:color w:val="333333"/>
          <w:sz w:val="24"/>
          <w:szCs w:val="24"/>
        </w:rPr>
      </w:pPr>
      <w:r>
        <w:rPr>
          <w:color w:val="333333"/>
          <w:sz w:val="24"/>
          <w:szCs w:val="24"/>
          <w:bdr w:val="none" w:color="auto" w:sz="0" w:space="0"/>
        </w:rPr>
        <w:t>　</w:t>
      </w:r>
      <w:r>
        <w:rPr>
          <w:color w:val="333333"/>
          <w:sz w:val="24"/>
          <w:szCs w:val="24"/>
        </w:rPr>
        <w:t>　各位推免生：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479" w:leftChars="228" w:right="0" w:firstLine="480" w:firstLineChars="200"/>
        <w:jc w:val="left"/>
        <w:rPr>
          <w:color w:val="333333"/>
          <w:sz w:val="24"/>
          <w:szCs w:val="24"/>
        </w:rPr>
      </w:pPr>
      <w:r>
        <w:rPr>
          <w:color w:val="333333"/>
          <w:sz w:val="24"/>
          <w:szCs w:val="24"/>
        </w:rPr>
        <w:t>现将我校2019年推荐优秀应届本科毕业生免试攻读硕士学位研究生选拔考核与复试工作安排如下：</w:t>
      </w:r>
      <w:r>
        <w:rPr>
          <w:color w:val="333333"/>
          <w:sz w:val="24"/>
          <w:szCs w:val="24"/>
        </w:rPr>
        <w:br w:type="textWrapping"/>
      </w:r>
      <w:r>
        <w:rPr>
          <w:rFonts w:hint="eastAsia"/>
          <w:color w:val="333333"/>
          <w:sz w:val="24"/>
          <w:szCs w:val="24"/>
          <w:lang w:val="en-US" w:eastAsia="zh-CN"/>
        </w:rPr>
        <w:t xml:space="preserve">   </w:t>
      </w:r>
      <w:r>
        <w:rPr>
          <w:color w:val="333333"/>
          <w:sz w:val="24"/>
          <w:szCs w:val="24"/>
        </w:rPr>
        <w:t>一、选拔考核考核与复试时间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479" w:leftChars="228" w:right="0" w:firstLine="480" w:firstLineChars="200"/>
        <w:jc w:val="left"/>
        <w:rPr>
          <w:color w:val="333333"/>
          <w:sz w:val="24"/>
          <w:szCs w:val="24"/>
        </w:rPr>
      </w:pPr>
      <w:r>
        <w:rPr>
          <w:color w:val="333333"/>
          <w:sz w:val="24"/>
          <w:szCs w:val="24"/>
        </w:rPr>
        <w:t>2018年9月14日（周五）</w:t>
      </w:r>
      <w:r>
        <w:rPr>
          <w:color w:val="333333"/>
          <w:sz w:val="24"/>
          <w:szCs w:val="24"/>
        </w:rPr>
        <w:br w:type="textWrapping"/>
      </w:r>
      <w:r>
        <w:rPr>
          <w:color w:val="333333"/>
          <w:sz w:val="24"/>
          <w:szCs w:val="24"/>
        </w:rPr>
        <w:br w:type="textWrapping"/>
      </w:r>
      <w:r>
        <w:rPr>
          <w:color w:val="333333"/>
          <w:sz w:val="24"/>
          <w:szCs w:val="24"/>
        </w:rPr>
        <w:t>　　二、选拔考核与复试人员</w:t>
      </w:r>
      <w:r>
        <w:rPr>
          <w:color w:val="333333"/>
          <w:sz w:val="24"/>
          <w:szCs w:val="24"/>
        </w:rPr>
        <w:br w:type="textWrapping"/>
      </w:r>
      <w:r>
        <w:rPr>
          <w:color w:val="333333"/>
          <w:sz w:val="24"/>
          <w:szCs w:val="24"/>
        </w:rPr>
        <w:br w:type="textWrapping"/>
      </w:r>
      <w:r>
        <w:rPr>
          <w:color w:val="333333"/>
          <w:sz w:val="24"/>
          <w:szCs w:val="24"/>
        </w:rPr>
        <w:t>　　获得所在学院初推资格的本校推免生（含支教团推免生）。</w:t>
      </w:r>
      <w:r>
        <w:rPr>
          <w:color w:val="333333"/>
          <w:sz w:val="24"/>
          <w:szCs w:val="24"/>
        </w:rPr>
        <w:br w:type="textWrapping"/>
      </w:r>
      <w:r>
        <w:rPr>
          <w:color w:val="333333"/>
          <w:sz w:val="24"/>
          <w:szCs w:val="24"/>
        </w:rPr>
        <w:br w:type="textWrapping"/>
      </w:r>
      <w:r>
        <w:rPr>
          <w:color w:val="333333"/>
          <w:sz w:val="24"/>
          <w:szCs w:val="24"/>
        </w:rPr>
        <w:t>　　三、选拔考核与复试时间</w:t>
      </w:r>
    </w:p>
    <w:tbl>
      <w:tblPr>
        <w:tblW w:w="9732"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91"/>
        <w:gridCol w:w="1832"/>
        <w:gridCol w:w="1355"/>
        <w:gridCol w:w="1891"/>
        <w:gridCol w:w="1242"/>
        <w:gridCol w:w="2121"/>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1291"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ascii="仿宋" w:hAnsi="仿宋" w:eastAsia="仿宋" w:cs="仿宋"/>
                <w:sz w:val="24"/>
                <w:szCs w:val="24"/>
                <w:bdr w:val="none" w:color="auto" w:sz="0" w:space="0"/>
              </w:rPr>
              <w:t>日期</w:t>
            </w:r>
          </w:p>
        </w:tc>
        <w:tc>
          <w:tcPr>
            <w:tcW w:w="183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时间</w:t>
            </w:r>
          </w:p>
        </w:tc>
        <w:tc>
          <w:tcPr>
            <w:tcW w:w="13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项目</w:t>
            </w:r>
          </w:p>
        </w:tc>
        <w:tc>
          <w:tcPr>
            <w:tcW w:w="189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地点</w:t>
            </w:r>
          </w:p>
        </w:tc>
        <w:tc>
          <w:tcPr>
            <w:tcW w:w="124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任务单位</w:t>
            </w:r>
          </w:p>
        </w:tc>
        <w:tc>
          <w:tcPr>
            <w:tcW w:w="212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备注内容</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1291"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9月14日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（周五）</w:t>
            </w:r>
          </w:p>
        </w:tc>
        <w:tc>
          <w:tcPr>
            <w:tcW w:w="1832"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9:05-11:05</w:t>
            </w:r>
          </w:p>
        </w:tc>
        <w:tc>
          <w:tcPr>
            <w:tcW w:w="135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外国语测试（含听力）</w:t>
            </w:r>
          </w:p>
        </w:tc>
        <w:tc>
          <w:tcPr>
            <w:tcW w:w="189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金花校区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教学主楼</w:t>
            </w:r>
          </w:p>
        </w:tc>
        <w:tc>
          <w:tcPr>
            <w:tcW w:w="1242"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研究生院组织</w:t>
            </w:r>
          </w:p>
        </w:tc>
        <w:tc>
          <w:tcPr>
            <w:tcW w:w="2121"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1、考生考场安排在各自学院所在校区；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2、考生携带本人身份证、学生证、签字笔、2B铅笔、橡皮等涂卡文具。</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5" w:hRule="atLeast"/>
        </w:trPr>
        <w:tc>
          <w:tcPr>
            <w:tcW w:w="1291"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c>
          <w:tcPr>
            <w:tcW w:w="1832" w:type="dxa"/>
            <w:vMerge w:val="continue"/>
            <w:tcBorders>
              <w:top w:val="nil"/>
              <w:left w:val="nil"/>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c>
          <w:tcPr>
            <w:tcW w:w="1355" w:type="dxa"/>
            <w:vMerge w:val="continue"/>
            <w:tcBorders>
              <w:top w:val="nil"/>
              <w:left w:val="nil"/>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c>
          <w:tcPr>
            <w:tcW w:w="189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临潼校区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C座教学楼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一楼</w:t>
            </w:r>
          </w:p>
        </w:tc>
        <w:tc>
          <w:tcPr>
            <w:tcW w:w="1242" w:type="dxa"/>
            <w:vMerge w:val="continue"/>
            <w:tcBorders>
              <w:top w:val="nil"/>
              <w:left w:val="nil"/>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c>
          <w:tcPr>
            <w:tcW w:w="2121" w:type="dxa"/>
            <w:vMerge w:val="continue"/>
            <w:tcBorders>
              <w:top w:val="nil"/>
              <w:left w:val="nil"/>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1291"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jc w:val="left"/>
              <w:rPr>
                <w:rFonts w:hint="eastAsia" w:ascii="宋体"/>
                <w:sz w:val="24"/>
                <w:szCs w:val="24"/>
              </w:rPr>
            </w:pPr>
          </w:p>
        </w:tc>
        <w:tc>
          <w:tcPr>
            <w:tcW w:w="183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14:00-18：00</w:t>
            </w:r>
          </w:p>
        </w:tc>
        <w:tc>
          <w:tcPr>
            <w:tcW w:w="13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综合面试（含外国语口语测试）</w:t>
            </w:r>
          </w:p>
        </w:tc>
        <w:tc>
          <w:tcPr>
            <w:tcW w:w="189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各硕士点所属学院自行规定，并以考生可见方式予以公告</w:t>
            </w:r>
          </w:p>
        </w:tc>
        <w:tc>
          <w:tcPr>
            <w:tcW w:w="124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各硕士点所属学院组织</w:t>
            </w:r>
          </w:p>
        </w:tc>
        <w:tc>
          <w:tcPr>
            <w:tcW w:w="212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1、含外国语口语测试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4" w:lineRule="atLeast"/>
              <w:ind w:left="0" w:right="0"/>
              <w:jc w:val="left"/>
              <w:rPr>
                <w:sz w:val="24"/>
                <w:szCs w:val="24"/>
              </w:rPr>
            </w:pPr>
            <w:r>
              <w:rPr>
                <w:rFonts w:hint="eastAsia" w:ascii="仿宋" w:hAnsi="仿宋" w:eastAsia="仿宋" w:cs="仿宋"/>
                <w:sz w:val="24"/>
                <w:szCs w:val="24"/>
                <w:bdr w:val="none" w:color="auto" w:sz="0" w:space="0"/>
              </w:rPr>
              <w:t>2、支教团候选人综合面试归所属学院组织安排</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479" w:leftChars="228" w:right="0" w:firstLine="480" w:firstLineChars="200"/>
        <w:jc w:val="left"/>
        <w:rPr>
          <w:color w:val="333333"/>
          <w:sz w:val="24"/>
          <w:szCs w:val="24"/>
        </w:rPr>
      </w:pPr>
      <w:r>
        <w:rPr>
          <w:color w:val="333333"/>
          <w:sz w:val="24"/>
          <w:szCs w:val="24"/>
          <w:bdr w:val="none" w:color="auto" w:sz="0" w:space="0"/>
        </w:rPr>
        <w:br w:type="textWrapping"/>
      </w:r>
      <w:r>
        <w:rPr>
          <w:rStyle w:val="5"/>
          <w:color w:val="333333"/>
          <w:sz w:val="24"/>
          <w:szCs w:val="24"/>
          <w:bdr w:val="none" w:color="auto" w:sz="0" w:space="0"/>
        </w:rPr>
        <w:t>　</w:t>
      </w:r>
      <w:r>
        <w:rPr>
          <w:color w:val="333333"/>
          <w:sz w:val="24"/>
          <w:szCs w:val="24"/>
        </w:rPr>
        <w:t>　四、其他事项</w:t>
      </w:r>
      <w:r>
        <w:rPr>
          <w:color w:val="333333"/>
          <w:sz w:val="24"/>
          <w:szCs w:val="24"/>
        </w:rPr>
        <w:br w:type="textWrapping"/>
      </w:r>
      <w:r>
        <w:rPr>
          <w:color w:val="333333"/>
          <w:sz w:val="24"/>
          <w:szCs w:val="24"/>
        </w:rPr>
        <w:br w:type="textWrapping"/>
      </w:r>
      <w:r>
        <w:rPr>
          <w:color w:val="333333"/>
          <w:sz w:val="24"/>
          <w:szCs w:val="24"/>
        </w:rPr>
        <w:t>　　1、考试主要对考生进行综合及专业素质测试，由外国语水平测试（六级程度，含听力）、综合面试（含外国语口语测试）等部分组成。</w:t>
      </w:r>
      <w:r>
        <w:rPr>
          <w:color w:val="333333"/>
          <w:sz w:val="24"/>
          <w:szCs w:val="24"/>
        </w:rPr>
        <w:br w:type="textWrapping"/>
      </w:r>
      <w:r>
        <w:rPr>
          <w:color w:val="333333"/>
          <w:sz w:val="24"/>
          <w:szCs w:val="24"/>
        </w:rPr>
        <w:br w:type="textWrapping"/>
      </w:r>
      <w:r>
        <w:rPr>
          <w:color w:val="333333"/>
          <w:sz w:val="24"/>
          <w:szCs w:val="24"/>
        </w:rPr>
        <w:t>　　2、推免生应到拟推荐专业硕士点所属学院参加综合面试。</w:t>
      </w:r>
      <w:r>
        <w:rPr>
          <w:color w:val="333333"/>
          <w:sz w:val="24"/>
          <w:szCs w:val="24"/>
        </w:rPr>
        <w:br w:type="textWrapping"/>
      </w:r>
      <w:r>
        <w:rPr>
          <w:color w:val="333333"/>
          <w:sz w:val="24"/>
          <w:szCs w:val="24"/>
        </w:rPr>
        <w:br w:type="textWrapping"/>
      </w:r>
      <w:r>
        <w:rPr>
          <w:color w:val="333333"/>
          <w:sz w:val="24"/>
          <w:szCs w:val="24"/>
        </w:rPr>
        <w:t>　　3、成绩测算、拟录取资格认定及后续工作执行《西安工程大学关于做好2019年推荐优秀应届本科毕业生免试攻读硕士学位研究生工作的通知》和《关于从2019届本科毕业生中推荐免试研究生参加中国青年志愿者扶贫接力计划第二十一届研究生支教团的通知》有关规定。</w:t>
      </w:r>
      <w:r>
        <w:rPr>
          <w:color w:val="333333"/>
          <w:sz w:val="24"/>
          <w:szCs w:val="24"/>
        </w:rPr>
        <w:br w:type="textWrapping"/>
      </w:r>
      <w:r>
        <w:rPr>
          <w:color w:val="333333"/>
          <w:sz w:val="24"/>
          <w:szCs w:val="24"/>
        </w:rPr>
        <w:br w:type="textWrapping"/>
      </w:r>
      <w:r>
        <w:rPr>
          <w:color w:val="333333"/>
          <w:sz w:val="24"/>
          <w:szCs w:val="24"/>
        </w:rPr>
        <w:t>　　研究生院</w:t>
      </w:r>
      <w:r>
        <w:rPr>
          <w:color w:val="333333"/>
          <w:sz w:val="24"/>
          <w:szCs w:val="24"/>
        </w:rPr>
        <w:br w:type="textWrapping"/>
      </w:r>
      <w:r>
        <w:rPr>
          <w:color w:val="333333"/>
          <w:sz w:val="24"/>
          <w:szCs w:val="24"/>
        </w:rPr>
        <w:br w:type="textWrapping"/>
      </w:r>
      <w:r>
        <w:rPr>
          <w:color w:val="333333"/>
          <w:sz w:val="24"/>
          <w:szCs w:val="24"/>
        </w:rPr>
        <w:t>　　2018年9月10日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479" w:leftChars="228" w:right="0" w:firstLine="480" w:firstLineChars="200"/>
        <w:jc w:val="left"/>
        <w:rPr>
          <w:color w:val="333333"/>
          <w:sz w:val="24"/>
          <w:szCs w:val="24"/>
        </w:rPr>
      </w:pPr>
      <w:r>
        <w:rPr>
          <w:rFonts w:hint="eastAsia"/>
          <w:color w:val="333333"/>
          <w:sz w:val="24"/>
          <w:szCs w:val="24"/>
          <w:lang w:val="en-US" w:eastAsia="zh-CN"/>
        </w:rPr>
        <w:fldChar w:fldCharType="begin"/>
      </w:r>
      <w:r>
        <w:rPr>
          <w:rFonts w:hint="eastAsia"/>
          <w:color w:val="333333"/>
          <w:sz w:val="24"/>
          <w:szCs w:val="24"/>
          <w:lang w:val="en-US" w:eastAsia="zh-CN"/>
        </w:rPr>
        <w:instrText xml:space="preserve"> HYPERLINK "http://yz.kaoyan.com/xpu/tuimian/5b97b6e17b248.html" \o "分享到新浪微博" </w:instrText>
      </w:r>
      <w:r>
        <w:rPr>
          <w:rFonts w:hint="eastAsia"/>
          <w:color w:val="333333"/>
          <w:sz w:val="24"/>
          <w:szCs w:val="24"/>
          <w:lang w:val="en-US" w:eastAsia="zh-CN"/>
        </w:rPr>
        <w:fldChar w:fldCharType="separate"/>
      </w:r>
      <w:r>
        <w:rPr>
          <w:rFonts w:hint="eastAsia"/>
          <w:color w:val="333333"/>
          <w:sz w:val="24"/>
          <w:szCs w:val="24"/>
          <w:lang w:val="en-US" w:eastAsia="zh-CN"/>
        </w:rPr>
        <w:fldChar w:fldCharType="end"/>
      </w:r>
      <w:r>
        <w:rPr>
          <w:rFonts w:hint="eastAsia"/>
          <w:color w:val="333333"/>
          <w:sz w:val="24"/>
          <w:szCs w:val="24"/>
          <w:lang w:val="en-US" w:eastAsia="zh-CN"/>
        </w:rPr>
        <w:fldChar w:fldCharType="begin"/>
      </w:r>
      <w:r>
        <w:rPr>
          <w:rFonts w:hint="eastAsia"/>
          <w:color w:val="333333"/>
          <w:sz w:val="24"/>
          <w:szCs w:val="24"/>
          <w:lang w:val="en-US" w:eastAsia="zh-CN"/>
        </w:rPr>
        <w:instrText xml:space="preserve"> HYPERLINK "http://yz.kaoyan.com/xpu/tuimian/5b97b6e17b248.html" \o "分享到人人网" </w:instrText>
      </w:r>
      <w:r>
        <w:rPr>
          <w:rFonts w:hint="eastAsia"/>
          <w:color w:val="333333"/>
          <w:sz w:val="24"/>
          <w:szCs w:val="24"/>
          <w:lang w:val="en-US" w:eastAsia="zh-CN"/>
        </w:rPr>
        <w:fldChar w:fldCharType="separate"/>
      </w:r>
      <w:r>
        <w:rPr>
          <w:rFonts w:hint="eastAsia"/>
          <w:color w:val="333333"/>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7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