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bdr w:val="none" w:color="auto" w:sz="0" w:space="0"/>
        </w:rPr>
        <w:t>2021年北京邮电大学推荐免试攻读硕士研究生的接收办法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一、申请条件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1.拥护中国共产党的领导，品德良好，遵纪守法。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2.具有推荐免试资格的优秀应届本科毕业生，本科专业与申请专业相同或相近。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3.身体健康状况符合国家和北京邮电大学规定的研究生入学体检标准。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二、申请及考核程序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申请人请登录北京邮电大学研究生招生信息网（https://yzb.bupt.edu.cn/）查看《北京邮电大学2021年硕士生招生专业目录》，并于2020年10月9日前将《推免生报考信息表》（点击即可下载，邮件主题和文件命名方式：“推免生报考信息表”+学生姓名）电子版发送至申请学院教务科电子信箱，并将以下纸质材料交送或邮寄至学院教务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1）《北京邮电大学2021年接收推荐免试攻读硕士学位研究生申请表》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2)大学英语四/六级考试成绩单复印件。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3）大学期间成绩单原件（加盖本科学校教务部门公章）。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4）有效居民身份证复印件（正反面）。</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5）各类获奖证书复印件。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所有材料均需使用A4纸，均不予退还。</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纸质材料邮寄地址（仅限EMS方式）：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北京市海淀区西土城路10号北京邮电大学XXX学院教务科邮编：100876</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各招生学院的联系方式：</w:t>
      </w:r>
    </w:p>
    <w:tbl>
      <w:tblPr>
        <w:tblW w:w="9734"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041"/>
        <w:gridCol w:w="1818"/>
        <w:gridCol w:w="2912"/>
        <w:gridCol w:w="1963"/>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65" w:hRule="atLeast"/>
          <w:tblHeader/>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联系电话</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电子邮箱</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办公地点</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001信息与通信工程学院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010-62282163</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yichang@bupt.edu.cn</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教二楼425室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002电子工程学院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010-62283720</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see_bupt@126.com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教四楼338室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003计算机学院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010-62282679</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jsj_yjsjw@bupt.edu.cn</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教三楼1012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004网络空间安全学院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010-62283635</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wayjw@bupt.edu.cn</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教一楼208室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005人工智能学院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010-62285128</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aixyyjs@163.com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信息网络中心212室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006现代邮政学院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010-62283551</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47317581@qq.com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教四楼311室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007经济管理学院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010-62283397</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jgyjsjw@163.com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经管楼216室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008理学院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010-62282099</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fulei@bupt.edu.cn</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主楼807室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009 人文学院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010-62282970</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qinyibupt@bupt.edu.cn</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教一楼317室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010数字媒体与设计艺术学院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010-62281209</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shumeibupt@126.com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教二楼115室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011 马克思主义学院</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010-62283395</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anxinmomo@126.com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明光楼605室</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304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012 教育技术研究所</w:t>
            </w:r>
          </w:p>
        </w:tc>
        <w:tc>
          <w:tcPr>
            <w:tcW w:w="1818"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010-82056333</w:t>
            </w:r>
          </w:p>
        </w:tc>
        <w:tc>
          <w:tcPr>
            <w:tcW w:w="291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fuwei-16@163.com</w:t>
            </w:r>
          </w:p>
        </w:tc>
        <w:tc>
          <w:tcPr>
            <w:tcW w:w="1963"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小西天校区网络教育学院218室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2.除有工作年限要求的专业和会计外，其他全日制专业均可接收推荐免试生。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3.2020年10月12日后获得推荐资格的申请人登录中国研究生招生信息网（网址：http://yz.chsi.com.cn）进行网上报名。各学院对申请人的资格进行初审，并对符合条件者发送复试通知。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4.具体复试安排由学院自行确定，时间为2020年10月25日前，复试全程录音录像。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三、接收程序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1.北京邮电大学根据申请材料、复试成绩择优确定申请人的录取资格。并在中国研究生招生信息网对拟录取的推免生发送“待录取通知”。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2.在中国研究生招生信息网收到“待录取通知”的推免生须在接收学院规定时间内点击“接受”，方能被我校正式录取。未在规定时间内点击“接受”的推免生，我校将取消其待录取资格，以便录取其他推免生。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四、体检</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体检时间及具体要求另行通知。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五、奖助体系</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为激励研究生勤奋学习、潜心科研，在全面实行研究生教育收费制度的情况下更好地支持研究生顺利完成学业，学校设立了研究生奖、助学金。2020年硕士研究生奖、助学金见下表（仅供参考）：</w:t>
      </w:r>
    </w:p>
    <w:tbl>
      <w:tblPr>
        <w:tblW w:w="9732" w:type="dxa"/>
        <w:jc w:val="center"/>
        <w:tblInd w:w="-563"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19"/>
        <w:gridCol w:w="2387"/>
        <w:gridCol w:w="951"/>
        <w:gridCol w:w="1085"/>
        <w:gridCol w:w="2070"/>
        <w:gridCol w:w="1820"/>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55" w:hRule="atLeast"/>
          <w:jc w:val="center"/>
        </w:trPr>
        <w:tc>
          <w:tcPr>
            <w:tcW w:w="1419"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0"/>
                <w:sz w:val="18"/>
                <w:szCs w:val="18"/>
                <w:bdr w:val="none" w:color="auto" w:sz="0" w:space="0"/>
              </w:rPr>
              <w:t>奖助类别</w:t>
            </w:r>
          </w:p>
        </w:tc>
        <w:tc>
          <w:tcPr>
            <w:tcW w:w="238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名称</w:t>
            </w:r>
          </w:p>
        </w:tc>
        <w:tc>
          <w:tcPr>
            <w:tcW w:w="2036"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（万元/人/年）</w:t>
            </w:r>
          </w:p>
        </w:tc>
        <w:tc>
          <w:tcPr>
            <w:tcW w:w="3890"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覆盖范围及比例</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jc w:val="center"/>
        </w:trPr>
        <w:tc>
          <w:tcPr>
            <w:tcW w:w="1419"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0"/>
                <w:sz w:val="18"/>
                <w:szCs w:val="18"/>
                <w:bdr w:val="none" w:color="auto" w:sz="0" w:space="0"/>
              </w:rPr>
              <w:t>助学金</w:t>
            </w:r>
          </w:p>
        </w:tc>
        <w:tc>
          <w:tcPr>
            <w:tcW w:w="238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国家助学金</w:t>
            </w:r>
          </w:p>
        </w:tc>
        <w:tc>
          <w:tcPr>
            <w:tcW w:w="2036"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0.6</w:t>
            </w:r>
          </w:p>
        </w:tc>
        <w:tc>
          <w:tcPr>
            <w:tcW w:w="207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100%</w:t>
            </w:r>
          </w:p>
        </w:tc>
        <w:tc>
          <w:tcPr>
            <w:tcW w:w="1820"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基本学习年限内在校生（不含定向生）</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0" w:hRule="atLeast"/>
          <w:jc w:val="center"/>
        </w:trPr>
        <w:tc>
          <w:tcPr>
            <w:tcW w:w="1419"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38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助研津贴</w:t>
            </w:r>
          </w:p>
        </w:tc>
        <w:tc>
          <w:tcPr>
            <w:tcW w:w="2036"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原则上平均不低于0.4</w:t>
            </w:r>
          </w:p>
        </w:tc>
        <w:tc>
          <w:tcPr>
            <w:tcW w:w="207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部分二、三年级硕士研究生</w:t>
            </w:r>
          </w:p>
        </w:tc>
        <w:tc>
          <w:tcPr>
            <w:tcW w:w="1820"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5" w:hRule="atLeast"/>
          <w:jc w:val="center"/>
        </w:trPr>
        <w:tc>
          <w:tcPr>
            <w:tcW w:w="1419"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0"/>
                <w:sz w:val="18"/>
                <w:szCs w:val="18"/>
                <w:bdr w:val="none" w:color="auto" w:sz="0" w:space="0"/>
              </w:rPr>
              <w:t>奖学金</w:t>
            </w:r>
          </w:p>
        </w:tc>
        <w:tc>
          <w:tcPr>
            <w:tcW w:w="238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国家奖学金</w:t>
            </w:r>
          </w:p>
        </w:tc>
        <w:tc>
          <w:tcPr>
            <w:tcW w:w="2036"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w:t>
            </w:r>
          </w:p>
        </w:tc>
        <w:tc>
          <w:tcPr>
            <w:tcW w:w="3890" w:type="dxa"/>
            <w:gridSpan w:val="2"/>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按照当年上级部门下发名额评定</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jc w:val="center"/>
        </w:trPr>
        <w:tc>
          <w:tcPr>
            <w:tcW w:w="1419"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387"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学业奖学金</w:t>
            </w:r>
          </w:p>
        </w:tc>
        <w:tc>
          <w:tcPr>
            <w:tcW w:w="95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一等</w:t>
            </w:r>
          </w:p>
        </w:tc>
        <w:tc>
          <w:tcPr>
            <w:tcW w:w="108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0.8</w:t>
            </w:r>
          </w:p>
        </w:tc>
        <w:tc>
          <w:tcPr>
            <w:tcW w:w="207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70%</w:t>
            </w:r>
          </w:p>
        </w:tc>
        <w:tc>
          <w:tcPr>
            <w:tcW w:w="1820"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参评范围及比例参见相关实施细则</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1419"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387"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95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二等</w:t>
            </w:r>
          </w:p>
        </w:tc>
        <w:tc>
          <w:tcPr>
            <w:tcW w:w="108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0.4</w:t>
            </w:r>
          </w:p>
        </w:tc>
        <w:tc>
          <w:tcPr>
            <w:tcW w:w="207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 30%</w:t>
            </w:r>
          </w:p>
        </w:tc>
        <w:tc>
          <w:tcPr>
            <w:tcW w:w="1820"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1419"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38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社会及企业奖学金</w:t>
            </w:r>
          </w:p>
        </w:tc>
        <w:tc>
          <w:tcPr>
            <w:tcW w:w="5926" w:type="dxa"/>
            <w:gridSpan w:val="4"/>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按照协议执行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六、其他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1.我校将在2021年拟录取的推免生中择优录取部分学生进行硕博贯通培养。进入贯通培养的推免生入学后以硕博连读招生方式申请攻读博士学位，考核合格后于次年9月份正式转为该导师的博士生。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2.申请人必须保证申请材料的真实性和准确性，对弄虚作假者，不论何时，一经查实，即按有关规定取消其录取资格或学籍。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3.取得北京邮电大学推荐免试攻读硕士学位研究生录取资格的申请人入学前如未取得本科毕业证书，将取消其录取资格。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A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2020-12-16T07:03:14Z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