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2021级</w:t>
      </w:r>
      <w:bookmarkStart w:id="0" w:name="_GoBack"/>
      <w:r>
        <w:rPr>
          <w:rFonts w:hint="eastAsia" w:ascii="微软雅黑" w:hAnsi="微软雅黑" w:eastAsia="微软雅黑" w:cs="微软雅黑"/>
          <w:color w:val="333333"/>
          <w:sz w:val="39"/>
          <w:szCs w:val="39"/>
          <w:bdr w:val="none" w:color="auto" w:sz="0" w:space="0"/>
        </w:rPr>
        <w:t>北京工商大学轻工科学技术</w:t>
      </w:r>
      <w:bookmarkEnd w:id="0"/>
      <w:r>
        <w:rPr>
          <w:rFonts w:hint="eastAsia" w:ascii="微软雅黑" w:hAnsi="微软雅黑" w:eastAsia="微软雅黑" w:cs="微软雅黑"/>
          <w:color w:val="333333"/>
          <w:sz w:val="39"/>
          <w:szCs w:val="39"/>
          <w:bdr w:val="none" w:color="auto" w:sz="0" w:space="0"/>
        </w:rPr>
        <w:t>学院接收推免生工作方案</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7</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2020-09-22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"https://static.kaoyan.com/kaoyan/huodong/kyhd?id=5844&amp;channel=yuanxiao" \t "http://yz.kaoyan.com/btbu/tuimian/_blank"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最新免费课程</w:t>
      </w:r>
      <w:r>
        <w:rPr>
          <w:color w:val="3986C8"/>
          <w:sz w:val="24"/>
          <w:szCs w:val="24"/>
          <w:u w:val="none"/>
          <w:bdr w:val="none" w:color="auto" w:sz="0" w:space="0"/>
        </w:rPr>
        <w:fldChar w:fldCharType="end"/>
      </w:r>
      <w:r>
        <w:rPr>
          <w:color w:val="333333"/>
          <w:sz w:val="24"/>
          <w:szCs w:val="24"/>
          <w:bdr w:val="none" w:color="auto" w:sz="0" w:space="0"/>
        </w:rPr>
        <w:t>】教育考研报名指导＋最后90天复习强势指南</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根据北京工商大学关于接收2021级推荐免试攻读硕士研究生工作安排，制定本学院工作方案。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一、招收专业和名额</w:t>
      </w:r>
    </w:p>
    <w:tbl>
      <w:tblPr>
        <w:tblW w:w="9733"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98"/>
        <w:gridCol w:w="1842"/>
        <w:gridCol w:w="2903"/>
        <w:gridCol w:w="912"/>
        <w:gridCol w:w="912"/>
        <w:gridCol w:w="2066"/>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60" w:hRule="atLeast"/>
        </w:trPr>
        <w:tc>
          <w:tcPr>
            <w:tcW w:w="109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专业代码</w:t>
            </w:r>
          </w:p>
        </w:tc>
        <w:tc>
          <w:tcPr>
            <w:tcW w:w="184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专业名称</w:t>
            </w:r>
          </w:p>
        </w:tc>
        <w:tc>
          <w:tcPr>
            <w:tcW w:w="290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研究方向</w:t>
            </w:r>
          </w:p>
        </w:tc>
        <w:tc>
          <w:tcPr>
            <w:tcW w:w="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推免招生类型</w:t>
            </w:r>
          </w:p>
        </w:tc>
        <w:tc>
          <w:tcPr>
            <w:tcW w:w="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学制</w:t>
            </w:r>
          </w:p>
        </w:tc>
        <w:tc>
          <w:tcPr>
            <w:tcW w:w="2066"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18"/>
                <w:szCs w:val="18"/>
                <w:bdr w:val="none" w:color="auto" w:sz="0" w:space="0"/>
              </w:rPr>
              <w:t>接收2021级推免生人数</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109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081703</w:t>
            </w:r>
          </w:p>
        </w:tc>
        <w:tc>
          <w:tcPr>
            <w:tcW w:w="184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生物化工</w:t>
            </w:r>
          </w:p>
        </w:tc>
        <w:tc>
          <w:tcPr>
            <w:tcW w:w="290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1.食品生物技术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2.生物分离工程</w:t>
            </w:r>
          </w:p>
        </w:tc>
        <w:tc>
          <w:tcPr>
            <w:tcW w:w="912"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硕士</w:t>
            </w:r>
          </w:p>
        </w:tc>
        <w:tc>
          <w:tcPr>
            <w:tcW w:w="912"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3年</w:t>
            </w:r>
          </w:p>
        </w:tc>
        <w:tc>
          <w:tcPr>
            <w:tcW w:w="2066"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109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081704</w:t>
            </w:r>
          </w:p>
        </w:tc>
        <w:tc>
          <w:tcPr>
            <w:tcW w:w="184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应用化学</w:t>
            </w:r>
          </w:p>
        </w:tc>
        <w:tc>
          <w:tcPr>
            <w:tcW w:w="290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1.香料化学及应用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2.界面化学及应用</w:t>
            </w:r>
          </w:p>
        </w:tc>
        <w:tc>
          <w:tcPr>
            <w:tcW w:w="912"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912"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066"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09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082200</w:t>
            </w:r>
          </w:p>
        </w:tc>
        <w:tc>
          <w:tcPr>
            <w:tcW w:w="184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轻工技术与工程</w:t>
            </w:r>
          </w:p>
        </w:tc>
        <w:tc>
          <w:tcPr>
            <w:tcW w:w="290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1.日用化学品科学与技术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2.发酵工程</w:t>
            </w:r>
          </w:p>
        </w:tc>
        <w:tc>
          <w:tcPr>
            <w:tcW w:w="912"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912"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066"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5</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09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0856</w:t>
            </w:r>
          </w:p>
        </w:tc>
        <w:tc>
          <w:tcPr>
            <w:tcW w:w="184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材料与化工</w:t>
            </w:r>
          </w:p>
        </w:tc>
        <w:tc>
          <w:tcPr>
            <w:tcW w:w="290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1.精细化工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2.生物化工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3.分离与反应工程</w:t>
            </w:r>
          </w:p>
        </w:tc>
        <w:tc>
          <w:tcPr>
            <w:tcW w:w="912"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912"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066"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5</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09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0860</w:t>
            </w:r>
          </w:p>
        </w:tc>
        <w:tc>
          <w:tcPr>
            <w:tcW w:w="184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生物与医药</w:t>
            </w:r>
          </w:p>
        </w:tc>
        <w:tc>
          <w:tcPr>
            <w:tcW w:w="290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1.生物工程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2.轻工技术与工程</w:t>
            </w:r>
          </w:p>
        </w:tc>
        <w:tc>
          <w:tcPr>
            <w:tcW w:w="912"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912"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066"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br w:type="textWrapping"/>
      </w:r>
      <w:r>
        <w:rPr>
          <w:color w:val="333333"/>
          <w:sz w:val="24"/>
          <w:szCs w:val="24"/>
          <w:bdr w:val="none" w:color="auto" w:sz="0" w:space="0"/>
        </w:rPr>
        <w:t>　　二、申请条件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1.获得推荐免试资格的全日制普通高校的优秀应届本科毕业生。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2.拥护中国共产党的领导，品德良好，遵纪守法。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3.身体健康状况符合国家规定的体检要求。</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三、申请材料（通过教育部推免试系统上传扫描件）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1.《北京工商大学轻工科学技术学院推免生报名汇总表》电子版，详见附件1。</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2.四级或六级成绩单和在校学习成绩单（须加盖学校教务处或院系公章）。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3.发表的学术论文、著作、教材、专利或其他可体现学术能力的成果和获奖证书（须提交原件的扫描件）。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4.政审表（见http://yjs.btbu.edu.cn/zsgz/cyxz/108291.htm硕士研究生政审函调表）由考生本人所在学校政工部门加盖印章。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5.正式报名时，上述材料通过教育部推免系统上传扫描件。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四、报名程序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1.预报名：9月10日-10月24日，每天08:00-18:00可登录http://yz.btbu.edu.cn/Default.aspx（北京工商大学接收推免生预报名系统）注册后进行预报名。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2.学生将申请材料、身份证、学生证扫描件，2020年9月15日-2020年10月24日电子版发送至：wangzhao@btbu.edu.cn;liyanbo@btbu.edu.cn，邮件名称为“推免生报名-报考专业-姓名”。（在考生邮箱报名后1个工作日内回复）。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3.正式报名：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教育部推免服务系统开通后，请登录中国研究生招生信息网（http://yz.chsi.com.cn/）“全国推荐优秀应届本科毕业生免试攻读研究生信息公开暨管理服务系统”（简称“推免服务系统”），注册后填报学生信息并提交学校所要求的有关材料。正式报名是接收推免生的必要环节，请推免生在教育部规定时间内完成正式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五、资格审核</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学院对推免生申请者的材料进行审查、评议，确定复试名单后，学院向申请者发出复试或不予接收复试的通知。同时告知复试时间及地点。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1.复试原则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坚持公开、公平、公正原则，在对考生进行全面考查的基础上，实行择优选拔。</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2.复试办法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接收推免生面试原则上采取线上双机位复试，本校本科生实行线下复试。由各学科专职教师组成面试小组，每个面试小组由5-7人组成，面试小组的组长由具有高级职称的专业教师担任。面试内容包括专业知识、英语测试、以及综合素质测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3.复试时间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复试时间：9月中旬至10月中下旬，具体时间另行通知。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4.面试基本要求及程序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线上复试操作请查看附件2《北京工商大学轻工科学技术学院2021级推免生复试考生应试指南》。</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面试过程一般为：学生个人陈述，回答专业面试题，面试小组根据学生陈述情况提问，学生回答面试小组成员提问等。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核内容包括：（1）思想政治素质和道德品质考核；（2）考察考生对本学科专业知识的综合掌握情况，考生的专业素质；（3）英语表达能力（专业英语、口语、听力等）。（4）报考专业以外的学习、科研、社会实践或实际工作表现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七、录取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1.录取程序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（1）根据复试成绩确定拟接收推免生名单，并进行公示，60分（含）以上者方可录取，不及格者不能录取。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（2）学院在推免服务系统中发出拟录取通知。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（3）申请者在推免服务系统中回复确认（不确认者不能录取）。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（4）研究生院在校园网上公示接收推免生的名单。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2.若申请人提交的信息不准确或不真实，一经发现，立即取消其推免生资格，并通报申请人所在学校。</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3.所有推免生只能录取为全日制非定向就业研究生。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4.本校工作保研辅导员按《北京工商大学工作保研辅导员选聘管理办法》要求，保留两年硕士研究生入学资格，期间全职担任专职辅导员，第三年开始正式入学攻读全日制硕士研究生。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5.学生如对录取结果有异议，可向学校相关部门反映。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电话：研招办010-68987086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纪委办010-68984687</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八、体检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所有拟录取推免生须在拟录取后进行体检，并将体检报告寄送报考学院，不参加体检或体检不合格者取消录取资格。考生自行选择具有体检条件的医疗机构进行体检（体检内容见http://yjs.btbu.edu.cn/zsgz/cyxz/108291.htm研究生招生体格检查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寄送地址：北京市海淀区阜成路11号北京工商大学东区1号楼138办公室，王老师收。电话：010-68985235。</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九、学费标准及奖助政策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1.学费标准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硕士研究生学费标准</w:t>
      </w:r>
    </w:p>
    <w:tbl>
      <w:tblPr>
        <w:tblW w:w="9734"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7575"/>
        <w:gridCol w:w="2159"/>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7575"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硕士研究生类别</w:t>
            </w:r>
          </w:p>
        </w:tc>
        <w:tc>
          <w:tcPr>
            <w:tcW w:w="21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学费（元）</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7575"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理工科类</w:t>
            </w:r>
          </w:p>
        </w:tc>
        <w:tc>
          <w:tcPr>
            <w:tcW w:w="215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6000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br w:type="textWrapping"/>
      </w:r>
      <w:r>
        <w:rPr>
          <w:color w:val="333333"/>
          <w:sz w:val="24"/>
          <w:szCs w:val="24"/>
          <w:bdr w:val="none" w:color="auto" w:sz="0" w:space="0"/>
        </w:rPr>
        <w:t>　　2.奖助政策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我校录取的推免生（含学术学位推免生和专业学位推免生）直接享受一等新生奖学金。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校以“奖励优良学生，提高教育质量，补助基本生活，提高整体待遇，优化结构机制，促进科学发展”为目的，建立长效、多元的研究生奖助体系，适用于纳入全国研究生招生计划、无固定收入且档案转入学校的全日制研究生（除MBA）。</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研究生奖助学金体系由奖学金系列和助学金系列组成，奖学金系列分为国家奖学金、学业奖学金（覆盖面为100%）和学校奖学金，助学金系列分为国家助学金、国家助学贷款和学校助学金（助管津贴、助研津贴、临时特困补助）。优秀研究生还可申请研究生优秀学位论文奖、优秀研究生毕业生、研究生拔尖创新人才质量提升奖励、国家公派奖学金项目和研究生科研创新基金项目，资助体系具体信息可登陆我校研究生院网站查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全日制硕士研究生新生奖学金和综合奖学金标准见下表：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全日制硕士研究生新生奖学金和综合奖学金标准</w:t>
      </w:r>
    </w:p>
    <w:tbl>
      <w:tblPr>
        <w:tblW w:w="9733" w:type="dxa"/>
        <w:tblInd w:w="0" w:type="dxa"/>
        <w:shd w:val="clear"/>
        <w:tblLayout w:type="fixed"/>
        <w:tblCellMar>
          <w:top w:w="0" w:type="dxa"/>
          <w:left w:w="0" w:type="dxa"/>
          <w:bottom w:w="0" w:type="dxa"/>
          <w:right w:w="0" w:type="dxa"/>
        </w:tblCellMar>
      </w:tblPr>
      <w:tblGrid>
        <w:gridCol w:w="1799"/>
        <w:gridCol w:w="874"/>
        <w:gridCol w:w="1371"/>
        <w:gridCol w:w="1491"/>
        <w:gridCol w:w="994"/>
        <w:gridCol w:w="1542"/>
        <w:gridCol w:w="1662"/>
      </w:tblGrid>
      <w:tr>
        <w:tblPrEx>
          <w:tblLayout w:type="fixed"/>
          <w:tblCellMar>
            <w:top w:w="0" w:type="dxa"/>
            <w:left w:w="0" w:type="dxa"/>
            <w:bottom w:w="0" w:type="dxa"/>
            <w:right w:w="0" w:type="dxa"/>
          </w:tblCellMar>
        </w:tblPrEx>
        <w:trPr>
          <w:trHeight w:val="271" w:hRule="atLeast"/>
        </w:trPr>
        <w:tc>
          <w:tcPr>
            <w:tcW w:w="1799" w:type="dxa"/>
            <w:vMerge w:val="restart"/>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全日制硕士研究生</w:t>
            </w:r>
          </w:p>
        </w:tc>
        <w:tc>
          <w:tcPr>
            <w:tcW w:w="3736" w:type="dxa"/>
            <w:gridSpan w:val="3"/>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新生奖学金标准</w:t>
            </w:r>
          </w:p>
        </w:tc>
        <w:tc>
          <w:tcPr>
            <w:tcW w:w="4198" w:type="dxa"/>
            <w:gridSpan w:val="3"/>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综合奖学金标准（高年级）</w:t>
            </w:r>
          </w:p>
        </w:tc>
      </w:tr>
      <w:tr>
        <w:tblPrEx>
          <w:tblLayout w:type="fixed"/>
          <w:tblCellMar>
            <w:top w:w="0" w:type="dxa"/>
            <w:left w:w="0" w:type="dxa"/>
            <w:bottom w:w="0" w:type="dxa"/>
            <w:right w:w="0" w:type="dxa"/>
          </w:tblCellMar>
        </w:tblPrEx>
        <w:trPr>
          <w:trHeight w:val="570" w:hRule="atLeast"/>
        </w:trPr>
        <w:tc>
          <w:tcPr>
            <w:tcW w:w="1799"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874"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奖励等级</w:t>
            </w:r>
          </w:p>
        </w:tc>
        <w:tc>
          <w:tcPr>
            <w:tcW w:w="137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奖励比例（%）</w:t>
            </w:r>
          </w:p>
        </w:tc>
        <w:tc>
          <w:tcPr>
            <w:tcW w:w="149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奖励金额（元）</w:t>
            </w:r>
          </w:p>
        </w:tc>
        <w:tc>
          <w:tcPr>
            <w:tcW w:w="994"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奖励等级</w:t>
            </w:r>
          </w:p>
        </w:tc>
        <w:tc>
          <w:tcPr>
            <w:tcW w:w="1542"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奖励比例（%）</w:t>
            </w:r>
          </w:p>
        </w:tc>
        <w:tc>
          <w:tcPr>
            <w:tcW w:w="1662"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奖励金额（元）</w:t>
            </w:r>
          </w:p>
        </w:tc>
      </w:tr>
      <w:tr>
        <w:tblPrEx>
          <w:tblLayout w:type="fixed"/>
          <w:tblCellMar>
            <w:top w:w="0" w:type="dxa"/>
            <w:left w:w="0" w:type="dxa"/>
            <w:bottom w:w="0" w:type="dxa"/>
            <w:right w:w="0" w:type="dxa"/>
          </w:tblCellMar>
        </w:tblPrEx>
        <w:trPr>
          <w:trHeight w:val="405" w:hRule="atLeast"/>
        </w:trPr>
        <w:tc>
          <w:tcPr>
            <w:tcW w:w="1799" w:type="dxa"/>
            <w:vMerge w:val="restart"/>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理工科类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（学费6000元的专业）</w:t>
            </w:r>
          </w:p>
        </w:tc>
        <w:tc>
          <w:tcPr>
            <w:tcW w:w="874"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一等</w:t>
            </w:r>
          </w:p>
        </w:tc>
        <w:tc>
          <w:tcPr>
            <w:tcW w:w="137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50</w:t>
            </w:r>
          </w:p>
        </w:tc>
        <w:tc>
          <w:tcPr>
            <w:tcW w:w="149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8000</w:t>
            </w:r>
          </w:p>
        </w:tc>
        <w:tc>
          <w:tcPr>
            <w:tcW w:w="994"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一等</w:t>
            </w:r>
          </w:p>
        </w:tc>
        <w:tc>
          <w:tcPr>
            <w:tcW w:w="1542"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20</w:t>
            </w:r>
          </w:p>
        </w:tc>
        <w:tc>
          <w:tcPr>
            <w:tcW w:w="1662"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8000</w:t>
            </w:r>
          </w:p>
        </w:tc>
      </w:tr>
      <w:tr>
        <w:tblPrEx>
          <w:tblLayout w:type="fixed"/>
          <w:tblCellMar>
            <w:top w:w="0" w:type="dxa"/>
            <w:left w:w="0" w:type="dxa"/>
            <w:bottom w:w="0" w:type="dxa"/>
            <w:right w:w="0" w:type="dxa"/>
          </w:tblCellMar>
        </w:tblPrEx>
        <w:trPr>
          <w:trHeight w:val="405" w:hRule="atLeast"/>
        </w:trPr>
        <w:tc>
          <w:tcPr>
            <w:tcW w:w="1799"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874"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二等</w:t>
            </w:r>
          </w:p>
        </w:tc>
        <w:tc>
          <w:tcPr>
            <w:tcW w:w="137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50</w:t>
            </w:r>
          </w:p>
        </w:tc>
        <w:tc>
          <w:tcPr>
            <w:tcW w:w="149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5000</w:t>
            </w:r>
          </w:p>
        </w:tc>
        <w:tc>
          <w:tcPr>
            <w:tcW w:w="994"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二等</w:t>
            </w:r>
          </w:p>
        </w:tc>
        <w:tc>
          <w:tcPr>
            <w:tcW w:w="1542"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60</w:t>
            </w:r>
          </w:p>
        </w:tc>
        <w:tc>
          <w:tcPr>
            <w:tcW w:w="1662"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3000</w:t>
            </w:r>
          </w:p>
        </w:tc>
      </w:tr>
      <w:tr>
        <w:tblPrEx>
          <w:tblLayout w:type="fixed"/>
          <w:tblCellMar>
            <w:top w:w="0" w:type="dxa"/>
            <w:left w:w="0" w:type="dxa"/>
            <w:bottom w:w="0" w:type="dxa"/>
            <w:right w:w="0" w:type="dxa"/>
          </w:tblCellMar>
        </w:tblPrEx>
        <w:trPr>
          <w:trHeight w:val="405" w:hRule="atLeast"/>
        </w:trPr>
        <w:tc>
          <w:tcPr>
            <w:tcW w:w="1799"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874"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　</w:t>
            </w:r>
          </w:p>
        </w:tc>
        <w:tc>
          <w:tcPr>
            <w:tcW w:w="137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　</w:t>
            </w:r>
          </w:p>
        </w:tc>
        <w:tc>
          <w:tcPr>
            <w:tcW w:w="149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8"/>
                <w:szCs w:val="18"/>
                <w:bdr w:val="none" w:color="auto" w:sz="0" w:space="0"/>
              </w:rPr>
              <w:t>　</w:t>
            </w:r>
          </w:p>
        </w:tc>
        <w:tc>
          <w:tcPr>
            <w:tcW w:w="994"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三等</w:t>
            </w:r>
          </w:p>
        </w:tc>
        <w:tc>
          <w:tcPr>
            <w:tcW w:w="1542"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20</w:t>
            </w:r>
          </w:p>
        </w:tc>
        <w:tc>
          <w:tcPr>
            <w:tcW w:w="1662"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br w:type="textWrapping"/>
      </w:r>
      <w:r>
        <w:rPr>
          <w:color w:val="333333"/>
          <w:sz w:val="24"/>
          <w:szCs w:val="24"/>
          <w:bdr w:val="none" w:color="auto" w:sz="0" w:space="0"/>
        </w:rPr>
        <w:t>　　注：各类奖助学金每年可能会做适当调整，以入学年份制定的奖助政策为准。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十、联系方式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学院网址：http://qgxy.btbu.edu.cn/；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联系电话：010-68985235（李老师，王老师）</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hint="eastAsia" w:ascii="微软雅黑" w:hAnsi="微软雅黑" w:eastAsia="微软雅黑" w:cs="微软雅黑"/>
          <w:i w:val="0"/>
          <w:caps w:val="0"/>
          <w:color w:val="333333"/>
          <w:spacing w:val="0"/>
          <w:kern w:val="0"/>
          <w:sz w:val="21"/>
          <w:szCs w:val="21"/>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ind w:left="0" w:firstLine="0"/>
        <w:jc w:val="left"/>
        <w:rPr>
          <w:rFonts w:hint="eastAsia" w:ascii="微软雅黑" w:hAnsi="微软雅黑" w:eastAsia="微软雅黑" w:cs="微软雅黑"/>
          <w:i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53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